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8A" w:rsidRPr="000A2156" w:rsidRDefault="00DB218A" w:rsidP="00DB218A">
      <w:pPr>
        <w:ind w:left="980" w:hanging="420"/>
        <w:jc w:val="left"/>
        <w:rPr>
          <w:rFonts w:ascii="仿宋" w:eastAsia="仿宋" w:hAnsi="仿宋"/>
          <w:b/>
          <w:bCs/>
          <w:sz w:val="30"/>
          <w:szCs w:val="30"/>
        </w:rPr>
      </w:pPr>
      <w:r w:rsidRPr="000A2156">
        <w:rPr>
          <w:rFonts w:ascii="仿宋" w:eastAsia="仿宋" w:hAnsi="仿宋" w:hint="eastAsia"/>
          <w:b/>
          <w:bCs/>
          <w:sz w:val="30"/>
          <w:szCs w:val="30"/>
        </w:rPr>
        <w:t>附件1：</w:t>
      </w:r>
    </w:p>
    <w:p w:rsidR="00DB218A" w:rsidRPr="00DB218A" w:rsidRDefault="00DB218A" w:rsidP="00DB218A">
      <w:pPr>
        <w:pStyle w:val="a3"/>
        <w:spacing w:line="480" w:lineRule="auto"/>
        <w:ind w:left="980" w:firstLineChars="0" w:firstLine="0"/>
        <w:jc w:val="center"/>
        <w:rPr>
          <w:rFonts w:ascii="黑体" w:eastAsia="黑体" w:hAnsi="黑体" w:cs="宋体"/>
          <w:sz w:val="24"/>
          <w:szCs w:val="24"/>
        </w:rPr>
      </w:pPr>
      <w:r w:rsidRPr="00DB218A">
        <w:rPr>
          <w:rFonts w:ascii="黑体" w:eastAsia="黑体" w:hAnsi="黑体" w:hint="eastAsia"/>
          <w:b/>
          <w:bCs/>
          <w:sz w:val="24"/>
          <w:szCs w:val="24"/>
        </w:rPr>
        <w:t>2020年陕西省基础教育扶智应用课题指南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探究基于扶智平台“双师课堂”的应用模型构建；（杨凌高新小学）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探究基于扶智平台“名师工作室”教研应用模型构建；（西安中学）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探究基于扶智平台“教学诊断”应用模型构建；（曲江南湖小学）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探究“有问必答”网络互动响应的应用机制；（交大幼儿园）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探究基于结对帮扶学校间沟通、协作模式研究；（航天城第一中学）</w:t>
      </w:r>
    </w:p>
    <w:p w:rsidR="00DB218A" w:rsidRPr="0047678F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47678F">
        <w:rPr>
          <w:rFonts w:ascii="仿宋" w:eastAsia="仿宋" w:hAnsi="仿宋" w:cs="宋体" w:hint="eastAsia"/>
          <w:sz w:val="24"/>
          <w:szCs w:val="24"/>
        </w:rPr>
        <w:t>基于网络环境下结对帮扶教师间工作关系的模式研究；</w:t>
      </w:r>
      <w:r w:rsidR="0047678F" w:rsidRPr="0047678F">
        <w:rPr>
          <w:rFonts w:ascii="仿宋" w:eastAsia="仿宋" w:hAnsi="仿宋" w:cs="宋体" w:hint="eastAsia"/>
          <w:sz w:val="24"/>
          <w:szCs w:val="24"/>
        </w:rPr>
        <w:t>（西安小学）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网络环境下的有效教学研究——以扶智平台为例；（高新二校）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网络环境下薄弱学科的资源共享应用研究；（新城区后宰门小学）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网络环境下学校管理模式研究；（陕师大实验小学）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“互联网+区域教育”均衡问题探索——以陕西教育扶智平台为案例；(安康市电教馆）</w:t>
      </w:r>
    </w:p>
    <w:p w:rsidR="00DB218A" w:rsidRPr="0047678F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color w:val="000000" w:themeColor="text1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信息技术素养与教</w:t>
      </w:r>
      <w:r w:rsidRPr="0047678F">
        <w:rPr>
          <w:rFonts w:ascii="仿宋" w:eastAsia="仿宋" w:hAnsi="仿宋" w:cs="宋体" w:hint="eastAsia"/>
          <w:color w:val="000000" w:themeColor="text1"/>
          <w:sz w:val="24"/>
          <w:szCs w:val="24"/>
        </w:rPr>
        <w:t>师能力提升的关系探究；（交大附中雁塔校区）</w:t>
      </w:r>
    </w:p>
    <w:p w:rsidR="00DB218A" w:rsidRPr="0047678F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color w:val="000000" w:themeColor="text1"/>
          <w:sz w:val="24"/>
          <w:szCs w:val="24"/>
        </w:rPr>
      </w:pPr>
      <w:r w:rsidRPr="0047678F">
        <w:rPr>
          <w:rFonts w:ascii="仿宋" w:eastAsia="仿宋" w:hAnsi="仿宋" w:cs="宋体" w:hint="eastAsia"/>
          <w:color w:val="000000" w:themeColor="text1"/>
          <w:sz w:val="24"/>
          <w:szCs w:val="24"/>
        </w:rPr>
        <w:t>教师直播教学的方法与策略探究；（</w:t>
      </w:r>
      <w:r w:rsidR="0047678F" w:rsidRPr="0047678F">
        <w:rPr>
          <w:rFonts w:ascii="仿宋" w:eastAsia="仿宋" w:hAnsi="仿宋" w:cs="宋体" w:hint="eastAsia"/>
          <w:color w:val="000000" w:themeColor="text1"/>
          <w:sz w:val="24"/>
          <w:szCs w:val="24"/>
        </w:rPr>
        <w:t>宝鸡实验小学</w:t>
      </w:r>
      <w:r w:rsidRPr="0047678F">
        <w:rPr>
          <w:rFonts w:ascii="仿宋" w:eastAsia="仿宋" w:hAnsi="仿宋" w:cs="宋体" w:hint="eastAsia"/>
          <w:color w:val="000000" w:themeColor="text1"/>
          <w:sz w:val="24"/>
          <w:szCs w:val="24"/>
        </w:rPr>
        <w:t>）</w:t>
      </w:r>
    </w:p>
    <w:p w:rsidR="00DB218A" w:rsidRP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基于网络环境下教学效果评价研究；（西安经开一小）</w:t>
      </w:r>
    </w:p>
    <w:p w:rsidR="00DB218A" w:rsidRDefault="00DB218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 w:rsidRPr="00DB218A">
        <w:rPr>
          <w:rFonts w:ascii="仿宋" w:eastAsia="仿宋" w:hAnsi="仿宋" w:cs="宋体" w:hint="eastAsia"/>
          <w:sz w:val="24"/>
          <w:szCs w:val="24"/>
        </w:rPr>
        <w:t>远程互动教学课堂管理模式研究；（省政府机关幼儿园）</w:t>
      </w:r>
    </w:p>
    <w:p w:rsidR="000674DD" w:rsidRDefault="000B587A" w:rsidP="00DB218A">
      <w:pPr>
        <w:pStyle w:val="a3"/>
        <w:numPr>
          <w:ilvl w:val="0"/>
          <w:numId w:val="1"/>
        </w:numPr>
        <w:spacing w:line="480" w:lineRule="auto"/>
        <w:ind w:left="981" w:firstLineChars="0"/>
        <w:jc w:val="lef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基于网络教育帮扶环境下教师考核激励措施研究；（</w:t>
      </w:r>
      <w:r w:rsidR="009740DC">
        <w:rPr>
          <w:rFonts w:ascii="仿宋" w:eastAsia="仿宋" w:hAnsi="仿宋" w:cs="宋体" w:hint="eastAsia"/>
          <w:sz w:val="24"/>
          <w:szCs w:val="24"/>
        </w:rPr>
        <w:t>交大附小</w:t>
      </w:r>
      <w:bookmarkStart w:id="0" w:name="_GoBack"/>
      <w:bookmarkEnd w:id="0"/>
      <w:r>
        <w:rPr>
          <w:rFonts w:ascii="仿宋" w:eastAsia="仿宋" w:hAnsi="仿宋" w:cs="宋体" w:hint="eastAsia"/>
          <w:sz w:val="24"/>
          <w:szCs w:val="24"/>
        </w:rPr>
        <w:t>）</w:t>
      </w:r>
    </w:p>
    <w:p w:rsidR="0014336B" w:rsidRPr="00DB218A" w:rsidRDefault="0014336B" w:rsidP="00DB218A">
      <w:pPr>
        <w:spacing w:line="480" w:lineRule="auto"/>
        <w:rPr>
          <w:sz w:val="24"/>
          <w:szCs w:val="24"/>
        </w:rPr>
      </w:pPr>
    </w:p>
    <w:sectPr w:rsidR="0014336B" w:rsidRPr="00DB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38" w:rsidRDefault="00CC7238" w:rsidP="0047678F">
      <w:r>
        <w:separator/>
      </w:r>
    </w:p>
  </w:endnote>
  <w:endnote w:type="continuationSeparator" w:id="0">
    <w:p w:rsidR="00CC7238" w:rsidRDefault="00CC7238" w:rsidP="0047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38" w:rsidRDefault="00CC7238" w:rsidP="0047678F">
      <w:r>
        <w:separator/>
      </w:r>
    </w:p>
  </w:footnote>
  <w:footnote w:type="continuationSeparator" w:id="0">
    <w:p w:rsidR="00CC7238" w:rsidRDefault="00CC7238" w:rsidP="0047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0DC2"/>
    <w:multiLevelType w:val="hybridMultilevel"/>
    <w:tmpl w:val="0322AFE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8A"/>
    <w:rsid w:val="000674DD"/>
    <w:rsid w:val="000B587A"/>
    <w:rsid w:val="0014336B"/>
    <w:rsid w:val="003F21A4"/>
    <w:rsid w:val="0047678F"/>
    <w:rsid w:val="005835C8"/>
    <w:rsid w:val="009740DC"/>
    <w:rsid w:val="00980B75"/>
    <w:rsid w:val="00A46A77"/>
    <w:rsid w:val="00CC7238"/>
    <w:rsid w:val="00D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7FA89"/>
  <w15:chartTrackingRefBased/>
  <w15:docId w15:val="{18FF86F5-E60A-4258-8C24-6C5DF142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7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67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6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2020-06-04T09:07:00Z</dcterms:created>
  <dcterms:modified xsi:type="dcterms:W3CDTF">2020-06-04T09:25:00Z</dcterms:modified>
</cp:coreProperties>
</file>